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英国卡迪夫大学硕士双学位项目课程列表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940"/>
        <w:gridCol w:w="1368"/>
        <w:gridCol w:w="1572"/>
        <w:gridCol w:w="1608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外方课程英文名称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外方学分/学时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认定课程中文名称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拟认定课程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认定课程学分/学时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Research Design for Masters Students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硕士生研究设计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Scholarship in Social Sciences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社会科学奖学金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Global Futures in Education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全球教育的未来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Comparative Approaches to Understanding Curriculum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课程论对比研究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Psychology and Planning for Teaching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and Learning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教学心理学与规划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Research Policy &amp; Practice in Childhood and Youth Studies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儿童与青年研究的研究政策与实践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International and Comparative Skills Systems</w:t>
            </w:r>
          </w:p>
        </w:tc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20/200</w:t>
            </w:r>
          </w:p>
        </w:tc>
        <w:tc>
          <w:tcPr>
            <w:tcW w:w="157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国际比较下的技能体系</w:t>
            </w:r>
          </w:p>
        </w:tc>
        <w:tc>
          <w:tcPr>
            <w:tcW w:w="160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专业选修课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2/16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外方课程每10学时计1学分，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等于我校学分学时情况，可以作等同处理，即外方一门课程认定为我校一门课程。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学生完成卡迪夫大学学业时,应取得120学分 (北京师范大学认证其中至多12学分,若外方成绩单中包含了在国内修读的学分,该部分学分则不再重复认证为我校学分）。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6"/>
    <w:rsid w:val="00007DCF"/>
    <w:rsid w:val="000E019A"/>
    <w:rsid w:val="001F17DA"/>
    <w:rsid w:val="00273422"/>
    <w:rsid w:val="0052532F"/>
    <w:rsid w:val="008429BB"/>
    <w:rsid w:val="00992323"/>
    <w:rsid w:val="009D3098"/>
    <w:rsid w:val="00FA7266"/>
    <w:rsid w:val="35505868"/>
    <w:rsid w:val="3A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341</Words>
  <Characters>623</Characters>
  <Lines>4</Lines>
  <Paragraphs>1</Paragraphs>
  <TotalTime>12</TotalTime>
  <ScaleCrop>false</ScaleCrop>
  <LinksUpToDate>false</LinksUpToDate>
  <CharactersWithSpaces>655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2022-04-20T07:49:00Z</dcterms:created>
  <dc:creator>LB</dc:creator>
  <cp:lastModifiedBy>教育学部</cp:lastModifiedBy>
  <dcterms:modified xsi:type="dcterms:W3CDTF">2022-04-20T09:17:56Z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D5638AB9122948DCB0DBBF99CAA939FD</vt:lpwstr>
  </property>
</Properties>
</file>